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737F4" w14:textId="10110EA5" w:rsidR="00EB5A17" w:rsidRDefault="00EB5A17" w:rsidP="00EB5A17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EB5A17">
        <w:rPr>
          <w:rFonts w:cstheme="minorHAnsi"/>
          <w:sz w:val="24"/>
          <w:szCs w:val="24"/>
          <w:u w:val="single"/>
        </w:rPr>
        <w:t>Auxiliary Metering for Solar (PV) + Energy Storage Systems (ESS) Interconnections Summary:</w:t>
      </w:r>
    </w:p>
    <w:p w14:paraId="0AB979BD" w14:textId="3BCF24CB" w:rsidR="00C870BC" w:rsidRDefault="00C870BC" w:rsidP="00C870B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2020</w:t>
      </w:r>
    </w:p>
    <w:p w14:paraId="14C341E9" w14:textId="5072A2BB" w:rsidR="00C870BC" w:rsidRPr="00C870BC" w:rsidRDefault="00C870BC" w:rsidP="00C870BC">
      <w:pPr>
        <w:rPr>
          <w:rFonts w:cstheme="minorHAnsi"/>
          <w:sz w:val="24"/>
          <w:szCs w:val="24"/>
          <w:u w:val="single"/>
        </w:rPr>
      </w:pPr>
      <w:r w:rsidRPr="00C870BC">
        <w:rPr>
          <w:rFonts w:cstheme="minorHAnsi"/>
          <w:sz w:val="24"/>
          <w:szCs w:val="24"/>
          <w:u w:val="single"/>
        </w:rPr>
        <w:t>Background:</w:t>
      </w:r>
    </w:p>
    <w:p w14:paraId="2907ED50" w14:textId="796B78A0" w:rsidR="00CB4474" w:rsidRDefault="00EB5A17" w:rsidP="00EB5A17">
      <w:pPr>
        <w:rPr>
          <w:rFonts w:cstheme="minorHAnsi"/>
          <w:sz w:val="24"/>
          <w:szCs w:val="24"/>
        </w:rPr>
      </w:pPr>
      <w:r w:rsidRPr="00EB5A17">
        <w:rPr>
          <w:rFonts w:cstheme="minorHAnsi"/>
          <w:sz w:val="24"/>
          <w:szCs w:val="24"/>
        </w:rPr>
        <w:t>Initial discussions on the auxiliary metering topic in late 2019 lead to DPS support</w:t>
      </w:r>
      <w:r>
        <w:rPr>
          <w:rFonts w:cstheme="minorHAnsi"/>
          <w:sz w:val="24"/>
          <w:szCs w:val="24"/>
        </w:rPr>
        <w:t xml:space="preserve">ing </w:t>
      </w:r>
      <w:r w:rsidRPr="00EB5A17">
        <w:rPr>
          <w:rFonts w:cstheme="minorHAnsi"/>
          <w:sz w:val="24"/>
          <w:szCs w:val="24"/>
        </w:rPr>
        <w:t>the Joint Utilities</w:t>
      </w:r>
      <w:r w:rsidR="004A3A83">
        <w:rPr>
          <w:rFonts w:cstheme="minorHAnsi"/>
          <w:sz w:val="24"/>
          <w:szCs w:val="24"/>
        </w:rPr>
        <w:t>’</w:t>
      </w:r>
      <w:r w:rsidRPr="00EB5A17">
        <w:rPr>
          <w:rFonts w:cstheme="minorHAnsi"/>
          <w:sz w:val="24"/>
          <w:szCs w:val="24"/>
        </w:rPr>
        <w:t xml:space="preserve"> position to require a separate auxiliary meter </w:t>
      </w:r>
      <w:r w:rsidR="004A3A83">
        <w:rPr>
          <w:rFonts w:cstheme="minorHAnsi"/>
          <w:sz w:val="24"/>
          <w:szCs w:val="24"/>
        </w:rPr>
        <w:t>at the expense of the customer</w:t>
      </w:r>
      <w:r w:rsidR="00F74511">
        <w:rPr>
          <w:rFonts w:cstheme="minorHAnsi"/>
          <w:sz w:val="24"/>
          <w:szCs w:val="24"/>
        </w:rPr>
        <w:t xml:space="preserve"> </w:t>
      </w:r>
      <w:r w:rsidR="004A3A83">
        <w:rPr>
          <w:rFonts w:cstheme="minorHAnsi"/>
          <w:sz w:val="24"/>
          <w:szCs w:val="24"/>
        </w:rPr>
        <w:t>/</w:t>
      </w:r>
      <w:r w:rsidR="00F74511">
        <w:rPr>
          <w:rFonts w:cstheme="minorHAnsi"/>
          <w:sz w:val="24"/>
          <w:szCs w:val="24"/>
        </w:rPr>
        <w:t xml:space="preserve"> </w:t>
      </w:r>
      <w:r w:rsidR="004A3A83">
        <w:rPr>
          <w:rFonts w:cstheme="minorHAnsi"/>
          <w:sz w:val="24"/>
          <w:szCs w:val="24"/>
        </w:rPr>
        <w:t>applicant</w:t>
      </w:r>
      <w:r w:rsidRPr="00EB5A17">
        <w:rPr>
          <w:rFonts w:cstheme="minorHAnsi"/>
          <w:sz w:val="24"/>
          <w:szCs w:val="24"/>
        </w:rPr>
        <w:t xml:space="preserve"> to record </w:t>
      </w:r>
      <w:r>
        <w:rPr>
          <w:rFonts w:cstheme="minorHAnsi"/>
          <w:sz w:val="24"/>
          <w:szCs w:val="24"/>
        </w:rPr>
        <w:t xml:space="preserve">auxiliary loads </w:t>
      </w:r>
      <w:r w:rsidR="00A6748B">
        <w:rPr>
          <w:rFonts w:cstheme="minorHAnsi"/>
          <w:sz w:val="24"/>
          <w:szCs w:val="24"/>
        </w:rPr>
        <w:t>due to concerns with metering accuracy when utilizing a single meter to measure both auxiliary loads from ESS and maximum generation output from PV</w:t>
      </w:r>
      <w:r>
        <w:rPr>
          <w:rFonts w:cstheme="minorHAnsi"/>
          <w:sz w:val="24"/>
          <w:szCs w:val="24"/>
        </w:rPr>
        <w:t>.  After a February 2</w:t>
      </w:r>
      <w:r w:rsidR="00CB447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, 2020 letter </w:t>
      </w:r>
      <w:r w:rsidR="003A0BA9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the Industry disputing the initial position on this topic, </w:t>
      </w:r>
      <w:r w:rsidRPr="00EB5A17">
        <w:rPr>
          <w:rFonts w:cstheme="minorHAnsi"/>
          <w:sz w:val="24"/>
          <w:szCs w:val="24"/>
        </w:rPr>
        <w:t xml:space="preserve">the ITWG </w:t>
      </w:r>
      <w:r>
        <w:rPr>
          <w:rFonts w:cstheme="minorHAnsi"/>
          <w:sz w:val="24"/>
          <w:szCs w:val="24"/>
        </w:rPr>
        <w:t>began</w:t>
      </w:r>
      <w:r w:rsidRPr="00EB5A17">
        <w:rPr>
          <w:rFonts w:cstheme="minorHAnsi"/>
          <w:sz w:val="24"/>
          <w:szCs w:val="24"/>
        </w:rPr>
        <w:t xml:space="preserve"> </w:t>
      </w:r>
      <w:r w:rsidR="00CB4474">
        <w:rPr>
          <w:rFonts w:cstheme="minorHAnsi"/>
          <w:sz w:val="24"/>
          <w:szCs w:val="24"/>
        </w:rPr>
        <w:t xml:space="preserve">in-depth </w:t>
      </w:r>
      <w:r w:rsidRPr="00EB5A17">
        <w:rPr>
          <w:rFonts w:cstheme="minorHAnsi"/>
          <w:sz w:val="24"/>
          <w:szCs w:val="24"/>
        </w:rPr>
        <w:t>discuss</w:t>
      </w:r>
      <w:r w:rsidR="00CB4474">
        <w:rPr>
          <w:rFonts w:cstheme="minorHAnsi"/>
          <w:sz w:val="24"/>
          <w:szCs w:val="24"/>
        </w:rPr>
        <w:t xml:space="preserve">ions on </w:t>
      </w:r>
      <w:r w:rsidRPr="00EB5A17">
        <w:rPr>
          <w:rFonts w:cstheme="minorHAnsi"/>
          <w:sz w:val="24"/>
          <w:szCs w:val="24"/>
        </w:rPr>
        <w:t xml:space="preserve">the need / requirement to provide an additional meter to account and read auxiliary loads </w:t>
      </w:r>
      <w:r w:rsidR="004A3A83">
        <w:rPr>
          <w:rFonts w:cstheme="minorHAnsi"/>
          <w:sz w:val="24"/>
          <w:szCs w:val="24"/>
        </w:rPr>
        <w:t>(</w:t>
      </w:r>
      <w:r w:rsidRPr="00EB5A17">
        <w:rPr>
          <w:rFonts w:cstheme="minorHAnsi"/>
          <w:sz w:val="24"/>
          <w:szCs w:val="24"/>
        </w:rPr>
        <w:t>such as HVAC and other small loads</w:t>
      </w:r>
      <w:r w:rsidR="004A3A83">
        <w:rPr>
          <w:rFonts w:cstheme="minorHAnsi"/>
          <w:sz w:val="24"/>
          <w:szCs w:val="24"/>
        </w:rPr>
        <w:t xml:space="preserve">) </w:t>
      </w:r>
      <w:r w:rsidR="004A3A83" w:rsidRPr="00EB5A17">
        <w:rPr>
          <w:rFonts w:cstheme="minorHAnsi"/>
          <w:sz w:val="24"/>
          <w:szCs w:val="24"/>
        </w:rPr>
        <w:t>on PV+ESS interconnection projects</w:t>
      </w:r>
      <w:r w:rsidRPr="00EB5A17">
        <w:rPr>
          <w:rFonts w:cstheme="minorHAnsi"/>
          <w:sz w:val="24"/>
          <w:szCs w:val="24"/>
        </w:rPr>
        <w:t>. </w:t>
      </w:r>
    </w:p>
    <w:p w14:paraId="5F1A5B37" w14:textId="053430F2" w:rsidR="00EB5A17" w:rsidRPr="00EB5A17" w:rsidRDefault="00EB5A17" w:rsidP="00EB5A17">
      <w:pPr>
        <w:rPr>
          <w:rFonts w:cstheme="minorHAnsi"/>
          <w:sz w:val="24"/>
          <w:szCs w:val="24"/>
        </w:rPr>
      </w:pPr>
      <w:r w:rsidRPr="00EB5A17">
        <w:rPr>
          <w:rFonts w:cstheme="minorHAnsi"/>
          <w:sz w:val="24"/>
          <w:szCs w:val="24"/>
        </w:rPr>
        <w:t xml:space="preserve">The Industry says </w:t>
      </w:r>
      <w:r w:rsidR="003A0BA9">
        <w:rPr>
          <w:rFonts w:cstheme="minorHAnsi"/>
          <w:sz w:val="24"/>
          <w:szCs w:val="24"/>
        </w:rPr>
        <w:t>an</w:t>
      </w:r>
      <w:r w:rsidR="003A0BA9" w:rsidRPr="00EB5A17">
        <w:rPr>
          <w:rFonts w:cstheme="minorHAnsi"/>
          <w:sz w:val="24"/>
          <w:szCs w:val="24"/>
        </w:rPr>
        <w:t xml:space="preserve"> </w:t>
      </w:r>
      <w:r w:rsidRPr="00EB5A17">
        <w:rPr>
          <w:rFonts w:cstheme="minorHAnsi"/>
          <w:sz w:val="24"/>
          <w:szCs w:val="24"/>
        </w:rPr>
        <w:t xml:space="preserve">additional </w:t>
      </w:r>
      <w:r w:rsidR="00EC52FC">
        <w:rPr>
          <w:rFonts w:cstheme="minorHAnsi"/>
          <w:sz w:val="24"/>
          <w:szCs w:val="24"/>
        </w:rPr>
        <w:t xml:space="preserve">service and </w:t>
      </w:r>
      <w:r w:rsidRPr="00EB5A17">
        <w:rPr>
          <w:rFonts w:cstheme="minorHAnsi"/>
          <w:sz w:val="24"/>
          <w:szCs w:val="24"/>
        </w:rPr>
        <w:t xml:space="preserve">meter can be </w:t>
      </w:r>
      <w:r w:rsidR="00CB4474" w:rsidRPr="00EB5A17">
        <w:rPr>
          <w:rFonts w:cstheme="minorHAnsi"/>
          <w:sz w:val="24"/>
          <w:szCs w:val="24"/>
        </w:rPr>
        <w:t>costly,</w:t>
      </w:r>
      <w:r w:rsidRPr="00EB5A17">
        <w:rPr>
          <w:rFonts w:cstheme="minorHAnsi"/>
          <w:sz w:val="24"/>
          <w:szCs w:val="24"/>
        </w:rPr>
        <w:t xml:space="preserve"> and the loads are very small </w:t>
      </w:r>
      <w:r w:rsidR="00DF72E5">
        <w:rPr>
          <w:rFonts w:cstheme="minorHAnsi"/>
          <w:sz w:val="24"/>
          <w:szCs w:val="24"/>
        </w:rPr>
        <w:t xml:space="preserve">compared to the </w:t>
      </w:r>
      <w:r w:rsidRPr="00EB5A17">
        <w:rPr>
          <w:rFonts w:cstheme="minorHAnsi"/>
          <w:sz w:val="24"/>
          <w:szCs w:val="24"/>
        </w:rPr>
        <w:t xml:space="preserve">actual load </w:t>
      </w:r>
      <w:r w:rsidR="00DF72E5">
        <w:rPr>
          <w:rFonts w:cstheme="minorHAnsi"/>
          <w:sz w:val="24"/>
          <w:szCs w:val="24"/>
        </w:rPr>
        <w:t xml:space="preserve">even </w:t>
      </w:r>
      <w:r w:rsidRPr="00EB5A17">
        <w:rPr>
          <w:rFonts w:cstheme="minorHAnsi"/>
          <w:sz w:val="24"/>
          <w:szCs w:val="24"/>
        </w:rPr>
        <w:t>when the associated PV system is</w:t>
      </w:r>
      <w:r w:rsidR="00E973E2">
        <w:rPr>
          <w:rFonts w:cstheme="minorHAnsi"/>
          <w:sz w:val="24"/>
          <w:szCs w:val="24"/>
        </w:rPr>
        <w:t xml:space="preserve"> </w:t>
      </w:r>
      <w:r w:rsidRPr="00EB5A17">
        <w:rPr>
          <w:rFonts w:cstheme="minorHAnsi"/>
          <w:sz w:val="24"/>
          <w:szCs w:val="24"/>
        </w:rPr>
        <w:t>n</w:t>
      </w:r>
      <w:r w:rsidR="00E973E2">
        <w:rPr>
          <w:rFonts w:cstheme="minorHAnsi"/>
          <w:sz w:val="24"/>
          <w:szCs w:val="24"/>
        </w:rPr>
        <w:t>o</w:t>
      </w:r>
      <w:r w:rsidRPr="00EB5A17">
        <w:rPr>
          <w:rFonts w:cstheme="minorHAnsi"/>
          <w:sz w:val="24"/>
          <w:szCs w:val="24"/>
        </w:rPr>
        <w:t xml:space="preserve">t generating. </w:t>
      </w:r>
      <w:r w:rsidR="007308BD">
        <w:rPr>
          <w:rFonts w:cstheme="minorHAnsi"/>
          <w:sz w:val="24"/>
          <w:szCs w:val="24"/>
        </w:rPr>
        <w:t xml:space="preserve">The </w:t>
      </w:r>
      <w:r w:rsidRPr="00EB5A17">
        <w:rPr>
          <w:rFonts w:cstheme="minorHAnsi"/>
          <w:sz w:val="24"/>
          <w:szCs w:val="24"/>
        </w:rPr>
        <w:t xml:space="preserve">Utilities say that these small loads are not </w:t>
      </w:r>
      <w:r w:rsidR="00AD11CD">
        <w:rPr>
          <w:rFonts w:cstheme="minorHAnsi"/>
          <w:sz w:val="24"/>
          <w:szCs w:val="24"/>
        </w:rPr>
        <w:t>accurately</w:t>
      </w:r>
      <w:r w:rsidRPr="00EB5A17">
        <w:rPr>
          <w:rFonts w:cstheme="minorHAnsi"/>
          <w:sz w:val="24"/>
          <w:szCs w:val="24"/>
        </w:rPr>
        <w:t xml:space="preserve"> recorded by the main meters </w:t>
      </w:r>
      <w:r w:rsidR="00E973E2">
        <w:rPr>
          <w:rFonts w:cstheme="minorHAnsi"/>
          <w:sz w:val="24"/>
          <w:szCs w:val="24"/>
        </w:rPr>
        <w:t xml:space="preserve">because </w:t>
      </w:r>
      <w:r w:rsidRPr="00EB5A17">
        <w:rPr>
          <w:rFonts w:cstheme="minorHAnsi"/>
          <w:sz w:val="24"/>
          <w:szCs w:val="24"/>
        </w:rPr>
        <w:t xml:space="preserve">the current transformer (CT’s) </w:t>
      </w:r>
      <w:r w:rsidR="00AD11CD">
        <w:rPr>
          <w:rFonts w:cstheme="minorHAnsi"/>
          <w:sz w:val="24"/>
          <w:szCs w:val="24"/>
        </w:rPr>
        <w:t xml:space="preserve">that supply the meter have </w:t>
      </w:r>
      <w:r w:rsidRPr="00EB5A17">
        <w:rPr>
          <w:rFonts w:cstheme="minorHAnsi"/>
          <w:sz w:val="24"/>
          <w:szCs w:val="24"/>
        </w:rPr>
        <w:t xml:space="preserve">limitations at low </w:t>
      </w:r>
      <w:r w:rsidR="00AD11CD">
        <w:rPr>
          <w:rFonts w:cstheme="minorHAnsi"/>
          <w:sz w:val="24"/>
          <w:szCs w:val="24"/>
        </w:rPr>
        <w:t xml:space="preserve">load </w:t>
      </w:r>
      <w:r w:rsidRPr="00EB5A17">
        <w:rPr>
          <w:rFonts w:cstheme="minorHAnsi"/>
          <w:sz w:val="24"/>
          <w:szCs w:val="24"/>
        </w:rPr>
        <w:t>levels</w:t>
      </w:r>
      <w:r w:rsidR="00E973E2">
        <w:rPr>
          <w:rFonts w:cstheme="minorHAnsi"/>
          <w:sz w:val="24"/>
          <w:szCs w:val="24"/>
        </w:rPr>
        <w:t xml:space="preserve"> </w:t>
      </w:r>
      <w:r w:rsidR="00AD11CD">
        <w:rPr>
          <w:rFonts w:cstheme="minorHAnsi"/>
          <w:sz w:val="24"/>
          <w:szCs w:val="24"/>
        </w:rPr>
        <w:t xml:space="preserve">and this inaccuracy is </w:t>
      </w:r>
      <w:r w:rsidRPr="00EB5A17">
        <w:rPr>
          <w:rFonts w:cstheme="minorHAnsi"/>
          <w:sz w:val="24"/>
          <w:szCs w:val="24"/>
        </w:rPr>
        <w:t>significant enough to require separate metering</w:t>
      </w:r>
      <w:r w:rsidR="00AD11CD">
        <w:rPr>
          <w:rFonts w:cstheme="minorHAnsi"/>
          <w:sz w:val="24"/>
          <w:szCs w:val="24"/>
        </w:rPr>
        <w:t xml:space="preserve">. The loads </w:t>
      </w:r>
      <w:r w:rsidR="00E973E2">
        <w:rPr>
          <w:rFonts w:cstheme="minorHAnsi"/>
          <w:sz w:val="24"/>
          <w:szCs w:val="24"/>
        </w:rPr>
        <w:t xml:space="preserve">must </w:t>
      </w:r>
      <w:r w:rsidRPr="00EB5A17">
        <w:rPr>
          <w:rFonts w:cstheme="minorHAnsi"/>
          <w:sz w:val="24"/>
          <w:szCs w:val="24"/>
        </w:rPr>
        <w:t xml:space="preserve">be </w:t>
      </w:r>
      <w:r w:rsidR="00AD11CD">
        <w:rPr>
          <w:rFonts w:cstheme="minorHAnsi"/>
          <w:sz w:val="24"/>
          <w:szCs w:val="24"/>
        </w:rPr>
        <w:t xml:space="preserve">accurately </w:t>
      </w:r>
      <w:r w:rsidRPr="00EB5A17">
        <w:rPr>
          <w:rFonts w:cstheme="minorHAnsi"/>
          <w:sz w:val="24"/>
          <w:szCs w:val="24"/>
        </w:rPr>
        <w:t xml:space="preserve">captured so all </w:t>
      </w:r>
      <w:r w:rsidR="00E973E2">
        <w:rPr>
          <w:rFonts w:cstheme="minorHAnsi"/>
          <w:sz w:val="24"/>
          <w:szCs w:val="24"/>
        </w:rPr>
        <w:t xml:space="preserve">customers </w:t>
      </w:r>
      <w:r w:rsidRPr="00EB5A17">
        <w:rPr>
          <w:rFonts w:cstheme="minorHAnsi"/>
          <w:sz w:val="24"/>
          <w:szCs w:val="24"/>
        </w:rPr>
        <w:t>are not impacted.  This</w:t>
      </w:r>
      <w:r w:rsidR="0045724E">
        <w:rPr>
          <w:rFonts w:cstheme="minorHAnsi"/>
          <w:sz w:val="24"/>
          <w:szCs w:val="24"/>
        </w:rPr>
        <w:t xml:space="preserve"> </w:t>
      </w:r>
      <w:r w:rsidRPr="00EB5A17">
        <w:rPr>
          <w:rFonts w:cstheme="minorHAnsi"/>
          <w:sz w:val="24"/>
          <w:szCs w:val="24"/>
        </w:rPr>
        <w:t xml:space="preserve">issue </w:t>
      </w:r>
      <w:r w:rsidR="00E973E2">
        <w:rPr>
          <w:rFonts w:cstheme="minorHAnsi"/>
          <w:sz w:val="24"/>
          <w:szCs w:val="24"/>
        </w:rPr>
        <w:t xml:space="preserve">has arisen with the development of </w:t>
      </w:r>
      <w:r w:rsidRPr="00EB5A17">
        <w:rPr>
          <w:rFonts w:cstheme="minorHAnsi"/>
          <w:sz w:val="24"/>
          <w:szCs w:val="24"/>
        </w:rPr>
        <w:t xml:space="preserve">hybrid type interconnection projects and auxiliary loads as part of existing PV projects </w:t>
      </w:r>
      <w:r w:rsidR="00E973E2">
        <w:rPr>
          <w:rFonts w:cstheme="minorHAnsi"/>
          <w:sz w:val="24"/>
          <w:szCs w:val="24"/>
        </w:rPr>
        <w:t xml:space="preserve">and that these metering inaccuracies </w:t>
      </w:r>
      <w:r w:rsidRPr="00EB5A17">
        <w:rPr>
          <w:rFonts w:cstheme="minorHAnsi"/>
          <w:sz w:val="24"/>
          <w:szCs w:val="24"/>
        </w:rPr>
        <w:t>are not of concern</w:t>
      </w:r>
      <w:r w:rsidR="00A357B5">
        <w:rPr>
          <w:rFonts w:cstheme="minorHAnsi"/>
          <w:sz w:val="24"/>
          <w:szCs w:val="24"/>
        </w:rPr>
        <w:t xml:space="preserve"> and considered small and insignificant</w:t>
      </w:r>
      <w:r w:rsidRPr="00EB5A17">
        <w:rPr>
          <w:rFonts w:cstheme="minorHAnsi"/>
          <w:sz w:val="24"/>
          <w:szCs w:val="24"/>
        </w:rPr>
        <w:t xml:space="preserve">.  However, the ESS </w:t>
      </w:r>
      <w:r w:rsidR="00E973E2">
        <w:rPr>
          <w:rFonts w:cstheme="minorHAnsi"/>
          <w:sz w:val="24"/>
          <w:szCs w:val="24"/>
        </w:rPr>
        <w:t xml:space="preserve">component of a PV+ESS projects </w:t>
      </w:r>
      <w:r w:rsidRPr="00EB5A17">
        <w:rPr>
          <w:rFonts w:cstheme="minorHAnsi"/>
          <w:sz w:val="24"/>
          <w:szCs w:val="24"/>
        </w:rPr>
        <w:t xml:space="preserve">has additional </w:t>
      </w:r>
      <w:r w:rsidR="0052460C">
        <w:rPr>
          <w:rFonts w:cstheme="minorHAnsi"/>
          <w:sz w:val="24"/>
          <w:szCs w:val="24"/>
        </w:rPr>
        <w:t>and significant</w:t>
      </w:r>
      <w:r w:rsidRPr="00EB5A17">
        <w:rPr>
          <w:rFonts w:cstheme="minorHAnsi"/>
          <w:sz w:val="24"/>
          <w:szCs w:val="24"/>
        </w:rPr>
        <w:t xml:space="preserve"> HVAC loads that the </w:t>
      </w:r>
      <w:r w:rsidR="00E973E2">
        <w:rPr>
          <w:rFonts w:cstheme="minorHAnsi"/>
          <w:sz w:val="24"/>
          <w:szCs w:val="24"/>
        </w:rPr>
        <w:t>U</w:t>
      </w:r>
      <w:r w:rsidRPr="00EB5A17">
        <w:rPr>
          <w:rFonts w:cstheme="minorHAnsi"/>
          <w:sz w:val="24"/>
          <w:szCs w:val="24"/>
        </w:rPr>
        <w:t xml:space="preserve">tilities believe </w:t>
      </w:r>
      <w:r w:rsidR="00E973E2">
        <w:rPr>
          <w:rFonts w:cstheme="minorHAnsi"/>
          <w:sz w:val="24"/>
          <w:szCs w:val="24"/>
        </w:rPr>
        <w:t>must be addressed</w:t>
      </w:r>
      <w:r w:rsidRPr="00EB5A17">
        <w:rPr>
          <w:rFonts w:cstheme="minorHAnsi"/>
          <w:sz w:val="24"/>
          <w:szCs w:val="24"/>
        </w:rPr>
        <w:t xml:space="preserve">.  </w:t>
      </w:r>
    </w:p>
    <w:p w14:paraId="22693CD9" w14:textId="3238F594" w:rsidR="009F49ED" w:rsidRPr="000F6689" w:rsidRDefault="009F49ED" w:rsidP="009F49ED">
      <w:pPr>
        <w:pStyle w:val="Default"/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 xml:space="preserve">Several positions papers were presented including: </w:t>
      </w:r>
    </w:p>
    <w:p w14:paraId="3A501E89" w14:textId="2B1F72B3" w:rsidR="009F49ED" w:rsidRPr="000F6689" w:rsidRDefault="009F49ED" w:rsidP="008B4BEE">
      <w:pPr>
        <w:pStyle w:val="Default"/>
        <w:numPr>
          <w:ilvl w:val="0"/>
          <w:numId w:val="18"/>
        </w:numPr>
        <w:spacing w:after="144"/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>“2/6/2020 ITWG Industry Response Auxiliary Metering for ESS Projects</w:t>
      </w:r>
      <w:r w:rsidR="00DD174B">
        <w:rPr>
          <w:rFonts w:asciiTheme="minorHAnsi" w:hAnsiTheme="minorHAnsi" w:cstheme="minorHAnsi"/>
        </w:rPr>
        <w:t>,</w:t>
      </w:r>
      <w:r w:rsidRPr="000F6689">
        <w:rPr>
          <w:rFonts w:asciiTheme="minorHAnsi" w:hAnsiTheme="minorHAnsi" w:cstheme="minorHAnsi"/>
        </w:rPr>
        <w:t xml:space="preserve">” memo by the New York Solar Energy Industries Association &amp; ITWG Industry Group to NYSDPS, dated February 27, 2020 </w:t>
      </w:r>
    </w:p>
    <w:p w14:paraId="2EB02F1C" w14:textId="36AD244F" w:rsidR="009F49ED" w:rsidRPr="000F6689" w:rsidRDefault="009F49ED" w:rsidP="008B4BEE">
      <w:pPr>
        <w:pStyle w:val="Default"/>
        <w:numPr>
          <w:ilvl w:val="0"/>
          <w:numId w:val="18"/>
        </w:numPr>
        <w:spacing w:after="144"/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 xml:space="preserve">“2/27/2020 ITWG Industry Response - Auxiliary Metering for ESS Projects,” confidential memo by Joint Utilities of New York – Interconnection Technical Working Group, dated April 24, 2020 </w:t>
      </w:r>
    </w:p>
    <w:p w14:paraId="380C07A2" w14:textId="79AFDA36" w:rsidR="009F49ED" w:rsidRDefault="009F49ED" w:rsidP="008B4BEE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>“ITWG Industry Response - Auxiliary Metering for ESS Projects</w:t>
      </w:r>
      <w:r w:rsidR="00DD174B">
        <w:rPr>
          <w:rFonts w:asciiTheme="minorHAnsi" w:hAnsiTheme="minorHAnsi" w:cstheme="minorHAnsi"/>
        </w:rPr>
        <w:t>,</w:t>
      </w:r>
      <w:r w:rsidRPr="000F6689">
        <w:rPr>
          <w:rFonts w:asciiTheme="minorHAnsi" w:hAnsiTheme="minorHAnsi" w:cstheme="minorHAnsi"/>
        </w:rPr>
        <w:t xml:space="preserve">” memo by New York Solar Energy Industries Association &amp; ITWG Industry Group to NYSDPS, dated March 31, 2020 </w:t>
      </w:r>
    </w:p>
    <w:p w14:paraId="1814D511" w14:textId="750D1695" w:rsidR="00DF73F7" w:rsidRPr="00DF72E5" w:rsidRDefault="00DF73F7" w:rsidP="00DF72E5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 xml:space="preserve">“ITWG Industry </w:t>
      </w:r>
      <w:r>
        <w:rPr>
          <w:rFonts w:asciiTheme="minorHAnsi" w:hAnsiTheme="minorHAnsi" w:cstheme="minorHAnsi"/>
        </w:rPr>
        <w:t>Position Summary</w:t>
      </w:r>
      <w:r w:rsidRPr="000F6689">
        <w:rPr>
          <w:rFonts w:asciiTheme="minorHAnsi" w:hAnsiTheme="minorHAnsi" w:cstheme="minorHAnsi"/>
        </w:rPr>
        <w:t xml:space="preserve"> - Auxiliary Metering for ESS Projects</w:t>
      </w:r>
      <w:r w:rsidR="00DD174B">
        <w:rPr>
          <w:rFonts w:asciiTheme="minorHAnsi" w:hAnsiTheme="minorHAnsi" w:cstheme="minorHAnsi"/>
        </w:rPr>
        <w:t>,</w:t>
      </w:r>
      <w:r w:rsidRPr="000F6689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email</w:t>
      </w:r>
      <w:r w:rsidRPr="000F6689">
        <w:rPr>
          <w:rFonts w:asciiTheme="minorHAnsi" w:hAnsiTheme="minorHAnsi" w:cstheme="minorHAnsi"/>
        </w:rPr>
        <w:t xml:space="preserve"> by New York Solar Energy Industries Association &amp; ITWG Industry Group to NYSDPS, dated </w:t>
      </w:r>
      <w:r>
        <w:rPr>
          <w:rFonts w:asciiTheme="minorHAnsi" w:hAnsiTheme="minorHAnsi" w:cstheme="minorHAnsi"/>
        </w:rPr>
        <w:t>May 27</w:t>
      </w:r>
      <w:r w:rsidRPr="000F6689">
        <w:rPr>
          <w:rFonts w:asciiTheme="minorHAnsi" w:hAnsiTheme="minorHAnsi" w:cstheme="minorHAnsi"/>
        </w:rPr>
        <w:t>, 2020</w:t>
      </w:r>
      <w:r w:rsidR="00DD174B">
        <w:rPr>
          <w:rFonts w:asciiTheme="minorHAnsi" w:hAnsiTheme="minorHAnsi" w:cstheme="minorHAnsi"/>
        </w:rPr>
        <w:t>.</w:t>
      </w:r>
    </w:p>
    <w:p w14:paraId="408DB01D" w14:textId="77777777" w:rsidR="009F49ED" w:rsidRPr="000F6689" w:rsidRDefault="009F49ED" w:rsidP="009F49ED">
      <w:pPr>
        <w:pStyle w:val="Default"/>
        <w:rPr>
          <w:rFonts w:asciiTheme="minorHAnsi" w:hAnsiTheme="minorHAnsi" w:cstheme="minorHAnsi"/>
        </w:rPr>
      </w:pPr>
    </w:p>
    <w:p w14:paraId="151B6F66" w14:textId="77777777" w:rsidR="009F49ED" w:rsidRPr="000F6689" w:rsidRDefault="009F49ED" w:rsidP="009F49ED">
      <w:pPr>
        <w:pStyle w:val="Default"/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 xml:space="preserve">The main technical contention is the accuracy difference between: </w:t>
      </w:r>
    </w:p>
    <w:p w14:paraId="588D5A05" w14:textId="12284F0A" w:rsidR="009F49ED" w:rsidRPr="000F6689" w:rsidRDefault="009F49ED" w:rsidP="008B4BEE">
      <w:pPr>
        <w:pStyle w:val="Default"/>
        <w:numPr>
          <w:ilvl w:val="0"/>
          <w:numId w:val="16"/>
        </w:numPr>
        <w:spacing w:after="140"/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 xml:space="preserve"> </w:t>
      </w:r>
      <w:r w:rsidR="00DD174B">
        <w:rPr>
          <w:rFonts w:asciiTheme="minorHAnsi" w:hAnsiTheme="minorHAnsi" w:cstheme="minorHAnsi"/>
        </w:rPr>
        <w:t xml:space="preserve">A </w:t>
      </w:r>
      <w:r w:rsidRPr="000F6689">
        <w:rPr>
          <w:rFonts w:asciiTheme="minorHAnsi" w:hAnsiTheme="minorHAnsi" w:cstheme="minorHAnsi"/>
        </w:rPr>
        <w:t xml:space="preserve">single service meter at the PV+BESS plant </w:t>
      </w:r>
    </w:p>
    <w:p w14:paraId="41C353F9" w14:textId="46A38064" w:rsidR="009F49ED" w:rsidRPr="000F6689" w:rsidRDefault="009F49ED" w:rsidP="008B4BEE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0F6689">
        <w:rPr>
          <w:rFonts w:asciiTheme="minorHAnsi" w:hAnsiTheme="minorHAnsi" w:cstheme="minorHAnsi"/>
        </w:rPr>
        <w:t>Additional auxiliary meter at the plant, i.e., a two-meter configuration</w:t>
      </w:r>
      <w:r w:rsidR="00DD174B">
        <w:rPr>
          <w:rFonts w:asciiTheme="minorHAnsi" w:hAnsiTheme="minorHAnsi" w:cstheme="minorHAnsi"/>
        </w:rPr>
        <w:t>.</w:t>
      </w:r>
      <w:r w:rsidRPr="000F6689">
        <w:rPr>
          <w:rFonts w:asciiTheme="minorHAnsi" w:hAnsiTheme="minorHAnsi" w:cstheme="minorHAnsi"/>
        </w:rPr>
        <w:t xml:space="preserve"> </w:t>
      </w:r>
    </w:p>
    <w:p w14:paraId="7D794F58" w14:textId="77777777" w:rsidR="009F49ED" w:rsidRPr="000F6689" w:rsidRDefault="009F49ED" w:rsidP="009F49ED">
      <w:pPr>
        <w:pStyle w:val="Default"/>
        <w:rPr>
          <w:rFonts w:asciiTheme="minorHAnsi" w:hAnsiTheme="minorHAnsi" w:cstheme="minorHAnsi"/>
        </w:rPr>
      </w:pPr>
    </w:p>
    <w:p w14:paraId="641DA508" w14:textId="51A53CCC" w:rsidR="005A46D5" w:rsidRPr="000F6689" w:rsidRDefault="009F49ED" w:rsidP="009F49ED">
      <w:pPr>
        <w:rPr>
          <w:rFonts w:cstheme="minorHAnsi"/>
          <w:sz w:val="24"/>
          <w:szCs w:val="24"/>
        </w:rPr>
      </w:pPr>
      <w:r w:rsidRPr="000F6689">
        <w:rPr>
          <w:rFonts w:cstheme="minorHAnsi"/>
          <w:sz w:val="24"/>
          <w:szCs w:val="24"/>
        </w:rPr>
        <w:t>Sample configurations for the single-meter and two-meter are shown in Figure 1-1 and Figure 1-2, respectively.</w:t>
      </w:r>
    </w:p>
    <w:p w14:paraId="4B1A34A7" w14:textId="2C4D34E8" w:rsidR="009F49ED" w:rsidRDefault="009F49ED" w:rsidP="009F49ED">
      <w:r w:rsidRPr="009F49ED">
        <w:rPr>
          <w:noProof/>
        </w:rPr>
        <w:drawing>
          <wp:inline distT="0" distB="0" distL="0" distR="0" wp14:anchorId="1979BCDA" wp14:editId="30865F9A">
            <wp:extent cx="4458002" cy="234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64" cy="23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75D5" w14:textId="7A26B3CF" w:rsidR="009F49ED" w:rsidRDefault="009F49ED" w:rsidP="009F49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Figure 1-1: Sample Configuration for a Single-Meter PV+BESS Installation</w:t>
      </w:r>
    </w:p>
    <w:p w14:paraId="39CD0D74" w14:textId="0A89DB5C" w:rsidR="009F49ED" w:rsidRDefault="009F49ED" w:rsidP="009F49ED">
      <w:pPr>
        <w:rPr>
          <w:b/>
          <w:bCs/>
          <w:sz w:val="20"/>
          <w:szCs w:val="20"/>
        </w:rPr>
      </w:pPr>
    </w:p>
    <w:p w14:paraId="65B0FF15" w14:textId="69D1C356" w:rsidR="009F49ED" w:rsidRDefault="009F49ED" w:rsidP="009F49ED">
      <w:r w:rsidRPr="009F49ED">
        <w:rPr>
          <w:noProof/>
        </w:rPr>
        <w:drawing>
          <wp:inline distT="0" distB="0" distL="0" distR="0" wp14:anchorId="73F8B35F" wp14:editId="5047460A">
            <wp:extent cx="4508500" cy="2375253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61" cy="239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575E" w14:textId="77777777" w:rsidR="009F49ED" w:rsidRPr="009F49ED" w:rsidRDefault="009F49ED" w:rsidP="009F49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F49ED">
        <w:rPr>
          <w:rFonts w:cstheme="minorHAnsi"/>
          <w:b/>
          <w:bCs/>
          <w:color w:val="000000"/>
          <w:sz w:val="20"/>
          <w:szCs w:val="20"/>
        </w:rPr>
        <w:t xml:space="preserve">Figure 1-2: Sample Configuration for a Two-Meter PV+BESS Installation </w:t>
      </w:r>
    </w:p>
    <w:p w14:paraId="1793AEE2" w14:textId="3FD257E3" w:rsidR="009F49ED" w:rsidRDefault="009F49ED" w:rsidP="009F49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F49ED">
        <w:rPr>
          <w:rFonts w:cstheme="minorHAnsi"/>
          <w:b/>
          <w:bCs/>
          <w:color w:val="000000"/>
          <w:sz w:val="20"/>
          <w:szCs w:val="20"/>
        </w:rPr>
        <w:t>1.2. Meter and Instrument Transformer Accuracy</w:t>
      </w:r>
      <w:r w:rsidRPr="009F49ED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03827F74" w14:textId="77777777" w:rsidR="009F49ED" w:rsidRPr="009F49ED" w:rsidRDefault="009F49ED" w:rsidP="009F49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F66AAC8" w14:textId="77777777" w:rsidR="00C870BC" w:rsidRPr="00C870BC" w:rsidRDefault="00C870BC" w:rsidP="008B4BEE">
      <w:pPr>
        <w:rPr>
          <w:rFonts w:cstheme="minorHAnsi"/>
          <w:color w:val="000000"/>
          <w:sz w:val="24"/>
          <w:szCs w:val="24"/>
          <w:u w:val="single"/>
        </w:rPr>
      </w:pPr>
      <w:r w:rsidRPr="00C870BC">
        <w:rPr>
          <w:rFonts w:cstheme="minorHAnsi"/>
          <w:color w:val="000000"/>
          <w:sz w:val="24"/>
          <w:szCs w:val="24"/>
          <w:u w:val="single"/>
        </w:rPr>
        <w:t>Discussion:</w:t>
      </w:r>
    </w:p>
    <w:p w14:paraId="03E8021D" w14:textId="5FDA7D6F" w:rsidR="009F49ED" w:rsidRDefault="00F00539" w:rsidP="008B4BEE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This topic was heavily debated from each side and both provided technical and relevant justifications for their positions.  </w:t>
      </w:r>
      <w:r w:rsidR="000F6689">
        <w:rPr>
          <w:rFonts w:cstheme="minorHAnsi"/>
          <w:color w:val="000000"/>
          <w:sz w:val="24"/>
          <w:szCs w:val="24"/>
        </w:rPr>
        <w:t xml:space="preserve">After several discussions in the ITWG meetings over the first and second quarter of 2020, and the inability of Industry and </w:t>
      </w:r>
      <w:r w:rsidR="00DD174B">
        <w:rPr>
          <w:rFonts w:cstheme="minorHAnsi"/>
          <w:color w:val="000000"/>
          <w:sz w:val="24"/>
          <w:szCs w:val="24"/>
        </w:rPr>
        <w:t>the</w:t>
      </w:r>
      <w:r w:rsidR="000F6689">
        <w:rPr>
          <w:rFonts w:cstheme="minorHAnsi"/>
          <w:color w:val="000000"/>
          <w:sz w:val="24"/>
          <w:szCs w:val="24"/>
        </w:rPr>
        <w:t xml:space="preserve"> Joint Utilities to </w:t>
      </w:r>
      <w:r w:rsidR="00DD174B">
        <w:rPr>
          <w:rFonts w:cstheme="minorHAnsi"/>
          <w:color w:val="000000"/>
          <w:sz w:val="24"/>
          <w:szCs w:val="24"/>
        </w:rPr>
        <w:t xml:space="preserve">reach </w:t>
      </w:r>
      <w:r w:rsidR="000F6689">
        <w:rPr>
          <w:rFonts w:cstheme="minorHAnsi"/>
          <w:color w:val="000000"/>
          <w:sz w:val="24"/>
          <w:szCs w:val="24"/>
        </w:rPr>
        <w:t xml:space="preserve">consensus position, the Department of Public Service (DPS) Staff </w:t>
      </w:r>
      <w:r w:rsidR="00A357B5">
        <w:rPr>
          <w:rFonts w:cstheme="minorHAnsi"/>
          <w:color w:val="000000"/>
          <w:sz w:val="24"/>
          <w:szCs w:val="24"/>
        </w:rPr>
        <w:t xml:space="preserve">was </w:t>
      </w:r>
      <w:r w:rsidR="00CB4474">
        <w:rPr>
          <w:rFonts w:cstheme="minorHAnsi"/>
          <w:color w:val="000000"/>
          <w:sz w:val="24"/>
          <w:szCs w:val="24"/>
        </w:rPr>
        <w:t>determine</w:t>
      </w:r>
      <w:r w:rsidR="00DD174B">
        <w:rPr>
          <w:rFonts w:cstheme="minorHAnsi"/>
          <w:color w:val="000000"/>
          <w:sz w:val="24"/>
          <w:szCs w:val="24"/>
        </w:rPr>
        <w:t>d</w:t>
      </w:r>
      <w:r w:rsidR="000F6689">
        <w:rPr>
          <w:rFonts w:cstheme="minorHAnsi"/>
          <w:color w:val="000000"/>
          <w:sz w:val="24"/>
          <w:szCs w:val="24"/>
        </w:rPr>
        <w:t xml:space="preserve"> </w:t>
      </w:r>
      <w:r w:rsidR="00DD174B">
        <w:rPr>
          <w:rFonts w:cstheme="minorHAnsi"/>
          <w:color w:val="000000"/>
          <w:sz w:val="24"/>
          <w:szCs w:val="24"/>
        </w:rPr>
        <w:t>to reach</w:t>
      </w:r>
      <w:r w:rsidR="00D14155">
        <w:rPr>
          <w:rFonts w:cstheme="minorHAnsi"/>
          <w:color w:val="000000"/>
          <w:sz w:val="24"/>
          <w:szCs w:val="24"/>
        </w:rPr>
        <w:t xml:space="preserve"> </w:t>
      </w:r>
      <w:r w:rsidR="000F6689">
        <w:rPr>
          <w:rFonts w:cstheme="minorHAnsi"/>
          <w:color w:val="000000"/>
          <w:sz w:val="24"/>
          <w:szCs w:val="24"/>
        </w:rPr>
        <w:t>a final de</w:t>
      </w:r>
      <w:r w:rsidR="00CB4474">
        <w:rPr>
          <w:rFonts w:cstheme="minorHAnsi"/>
          <w:color w:val="000000"/>
          <w:sz w:val="24"/>
          <w:szCs w:val="24"/>
        </w:rPr>
        <w:t>cision</w:t>
      </w:r>
      <w:r w:rsidR="000F6689">
        <w:rPr>
          <w:rFonts w:cstheme="minorHAnsi"/>
          <w:color w:val="000000"/>
          <w:sz w:val="24"/>
          <w:szCs w:val="24"/>
        </w:rPr>
        <w:t>.  DPS Staff</w:t>
      </w:r>
      <w:r w:rsidR="00CB447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commissioned its independent technical ITWG consultant </w:t>
      </w:r>
      <w:proofErr w:type="spellStart"/>
      <w:r>
        <w:rPr>
          <w:rFonts w:cstheme="minorHAnsi"/>
          <w:color w:val="000000"/>
          <w:sz w:val="24"/>
          <w:szCs w:val="24"/>
        </w:rPr>
        <w:t>Pterra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to review this topic</w:t>
      </w:r>
      <w:r w:rsidR="003B307D">
        <w:rPr>
          <w:rFonts w:cstheme="minorHAnsi"/>
          <w:color w:val="000000"/>
          <w:sz w:val="24"/>
          <w:szCs w:val="24"/>
        </w:rPr>
        <w:t>,</w:t>
      </w:r>
      <w:r w:rsidR="00DD174B">
        <w:rPr>
          <w:rFonts w:cstheme="minorHAnsi"/>
          <w:color w:val="000000"/>
          <w:sz w:val="24"/>
          <w:szCs w:val="24"/>
        </w:rPr>
        <w:t xml:space="preserve"> </w:t>
      </w:r>
      <w:r w:rsidR="003B307D">
        <w:rPr>
          <w:rFonts w:cstheme="minorHAnsi"/>
          <w:color w:val="000000"/>
          <w:sz w:val="24"/>
          <w:szCs w:val="24"/>
        </w:rPr>
        <w:t>including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D174B">
        <w:rPr>
          <w:rFonts w:cstheme="minorHAnsi"/>
          <w:color w:val="000000"/>
          <w:sz w:val="24"/>
          <w:szCs w:val="24"/>
        </w:rPr>
        <w:t>and</w:t>
      </w:r>
      <w:r>
        <w:rPr>
          <w:rFonts w:cstheme="minorHAnsi"/>
          <w:color w:val="000000"/>
          <w:sz w:val="24"/>
          <w:szCs w:val="24"/>
        </w:rPr>
        <w:t xml:space="preserve"> all associated material</w:t>
      </w:r>
      <w:r w:rsidR="003B307D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and </w:t>
      </w:r>
      <w:r w:rsidR="00DD174B">
        <w:rPr>
          <w:rFonts w:cstheme="minorHAnsi"/>
          <w:color w:val="000000"/>
          <w:sz w:val="24"/>
          <w:szCs w:val="24"/>
        </w:rPr>
        <w:t>t</w:t>
      </w:r>
      <w:r w:rsidR="003B307D">
        <w:rPr>
          <w:rFonts w:cstheme="minorHAnsi"/>
          <w:color w:val="000000"/>
          <w:sz w:val="24"/>
          <w:szCs w:val="24"/>
        </w:rPr>
        <w:t>hen</w:t>
      </w:r>
      <w:r>
        <w:rPr>
          <w:rFonts w:cstheme="minorHAnsi"/>
          <w:color w:val="000000"/>
          <w:sz w:val="24"/>
          <w:szCs w:val="24"/>
        </w:rPr>
        <w:t xml:space="preserve"> provide its recommendation to </w:t>
      </w:r>
      <w:r w:rsidR="00CB4474">
        <w:rPr>
          <w:rFonts w:cstheme="minorHAnsi"/>
          <w:color w:val="000000"/>
          <w:sz w:val="24"/>
          <w:szCs w:val="24"/>
        </w:rPr>
        <w:lastRenderedPageBreak/>
        <w:t xml:space="preserve">DPS Staff and the ITWG.  </w:t>
      </w:r>
      <w:r w:rsidR="00C20305">
        <w:rPr>
          <w:rFonts w:cstheme="minorHAnsi"/>
          <w:color w:val="000000"/>
          <w:sz w:val="24"/>
          <w:szCs w:val="24"/>
        </w:rPr>
        <w:t xml:space="preserve">After a thorough review of all documentation and position papers provided by each party, review of </w:t>
      </w:r>
      <w:r w:rsidR="00DD174B"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 w:rsidR="00DD174B">
        <w:rPr>
          <w:rFonts w:cstheme="minorHAnsi"/>
          <w:color w:val="000000"/>
          <w:sz w:val="24"/>
          <w:szCs w:val="24"/>
        </w:rPr>
        <w:t>Pterra</w:t>
      </w:r>
      <w:proofErr w:type="spellEnd"/>
      <w:r w:rsidR="00DD174B">
        <w:rPr>
          <w:rFonts w:cstheme="minorHAnsi"/>
          <w:color w:val="000000"/>
          <w:sz w:val="24"/>
          <w:szCs w:val="24"/>
        </w:rPr>
        <w:t xml:space="preserve"> </w:t>
      </w:r>
      <w:r w:rsidR="00C20305">
        <w:rPr>
          <w:rFonts w:cstheme="minorHAnsi"/>
          <w:color w:val="000000"/>
          <w:sz w:val="24"/>
          <w:szCs w:val="24"/>
        </w:rPr>
        <w:t xml:space="preserve">analysis </w:t>
      </w:r>
      <w:r w:rsidR="00DD174B">
        <w:rPr>
          <w:rFonts w:cstheme="minorHAnsi"/>
          <w:color w:val="000000"/>
          <w:sz w:val="24"/>
          <w:szCs w:val="24"/>
        </w:rPr>
        <w:t>and discussion with NYSERDA</w:t>
      </w:r>
      <w:r w:rsidR="00C20305">
        <w:rPr>
          <w:rFonts w:cstheme="minorHAnsi"/>
          <w:color w:val="000000"/>
          <w:sz w:val="24"/>
          <w:szCs w:val="24"/>
        </w:rPr>
        <w:t>; DPS made a final determination</w:t>
      </w:r>
      <w:r w:rsidR="00CB4474">
        <w:rPr>
          <w:rFonts w:cstheme="minorHAnsi"/>
          <w:color w:val="000000"/>
          <w:sz w:val="24"/>
          <w:szCs w:val="24"/>
        </w:rPr>
        <w:t xml:space="preserve">.  </w:t>
      </w:r>
    </w:p>
    <w:p w14:paraId="7CD262E3" w14:textId="77777777" w:rsidR="005752E6" w:rsidRDefault="005752E6" w:rsidP="005752E6">
      <w:pPr>
        <w:pStyle w:val="Default"/>
        <w:rPr>
          <w:rFonts w:asciiTheme="minorHAnsi" w:hAnsiTheme="minorHAnsi" w:cstheme="minorHAnsi"/>
        </w:rPr>
      </w:pPr>
    </w:p>
    <w:p w14:paraId="2E289B5F" w14:textId="07037C87" w:rsidR="005752E6" w:rsidRPr="000F6689" w:rsidRDefault="007238A5" w:rsidP="005752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Below are some </w:t>
      </w:r>
      <w:r w:rsidR="005752E6" w:rsidRPr="000F6689">
        <w:rPr>
          <w:rFonts w:cstheme="minorHAnsi"/>
          <w:sz w:val="24"/>
          <w:szCs w:val="24"/>
        </w:rPr>
        <w:t xml:space="preserve">Sample configurations </w:t>
      </w:r>
      <w:r>
        <w:rPr>
          <w:rFonts w:cstheme="minorHAnsi"/>
          <w:sz w:val="24"/>
          <w:szCs w:val="24"/>
        </w:rPr>
        <w:t xml:space="preserve">from the </w:t>
      </w:r>
      <w:proofErr w:type="spellStart"/>
      <w:r>
        <w:rPr>
          <w:rFonts w:cstheme="minorHAnsi"/>
          <w:sz w:val="24"/>
          <w:szCs w:val="24"/>
        </w:rPr>
        <w:t>Pterra</w:t>
      </w:r>
      <w:proofErr w:type="spellEnd"/>
      <w:r>
        <w:rPr>
          <w:rFonts w:cstheme="minorHAnsi"/>
          <w:sz w:val="24"/>
          <w:szCs w:val="24"/>
        </w:rPr>
        <w:t xml:space="preserve"> analysis </w:t>
      </w:r>
      <w:r w:rsidR="005752E6" w:rsidRPr="000F6689">
        <w:rPr>
          <w:rFonts w:cstheme="minorHAnsi"/>
          <w:sz w:val="24"/>
          <w:szCs w:val="24"/>
        </w:rPr>
        <w:t xml:space="preserve">for </w:t>
      </w:r>
      <w:r w:rsidR="005752E6">
        <w:rPr>
          <w:rFonts w:cstheme="minorHAnsi"/>
          <w:sz w:val="24"/>
          <w:szCs w:val="24"/>
        </w:rPr>
        <w:t>sub</w:t>
      </w:r>
      <w:r w:rsidR="005752E6" w:rsidRPr="000F6689">
        <w:rPr>
          <w:rFonts w:cstheme="minorHAnsi"/>
          <w:sz w:val="24"/>
          <w:szCs w:val="24"/>
        </w:rPr>
        <w:t>-meter</w:t>
      </w:r>
      <w:r w:rsidR="005752E6">
        <w:rPr>
          <w:rFonts w:cstheme="minorHAnsi"/>
          <w:sz w:val="24"/>
          <w:szCs w:val="24"/>
        </w:rPr>
        <w:t>ing</w:t>
      </w:r>
      <w:r w:rsidR="005752E6" w:rsidRPr="000F6689">
        <w:rPr>
          <w:rFonts w:cstheme="minorHAnsi"/>
          <w:sz w:val="24"/>
          <w:szCs w:val="24"/>
        </w:rPr>
        <w:t xml:space="preserve"> are shown in Figure 1-</w:t>
      </w:r>
      <w:r w:rsidR="005752E6">
        <w:rPr>
          <w:rFonts w:cstheme="minorHAnsi"/>
          <w:sz w:val="24"/>
          <w:szCs w:val="24"/>
        </w:rPr>
        <w:t>3</w:t>
      </w:r>
      <w:r w:rsidR="005752E6" w:rsidRPr="000F6689">
        <w:rPr>
          <w:rFonts w:cstheme="minorHAnsi"/>
          <w:sz w:val="24"/>
          <w:szCs w:val="24"/>
        </w:rPr>
        <w:t xml:space="preserve"> and Figure 1-</w:t>
      </w:r>
      <w:r w:rsidR="005752E6">
        <w:rPr>
          <w:rFonts w:cstheme="minorHAnsi"/>
          <w:sz w:val="24"/>
          <w:szCs w:val="24"/>
        </w:rPr>
        <w:t>4</w:t>
      </w:r>
      <w:r w:rsidR="005752E6" w:rsidRPr="000F6689">
        <w:rPr>
          <w:rFonts w:cstheme="minorHAnsi"/>
          <w:sz w:val="24"/>
          <w:szCs w:val="24"/>
        </w:rPr>
        <w:t>, respectively.</w:t>
      </w:r>
    </w:p>
    <w:p w14:paraId="4B360383" w14:textId="55EF0BBF" w:rsidR="005752E6" w:rsidRPr="006A5C01" w:rsidRDefault="005752E6" w:rsidP="006A5C01">
      <w:pPr>
        <w:pStyle w:val="Default"/>
        <w:rPr>
          <w:rFonts w:asciiTheme="minorHAnsi" w:hAnsiTheme="minorHAnsi" w:cstheme="minorHAnsi"/>
        </w:rPr>
      </w:pPr>
      <w:r w:rsidRPr="005752E6">
        <w:rPr>
          <w:rFonts w:asciiTheme="minorHAnsi" w:hAnsiTheme="minorHAnsi" w:cstheme="minorHAnsi"/>
          <w:noProof/>
        </w:rPr>
        <w:drawing>
          <wp:inline distT="0" distB="0" distL="0" distR="0" wp14:anchorId="082D7599" wp14:editId="64812C7C">
            <wp:extent cx="5943600" cy="3123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EA95" w14:textId="248DF2C4" w:rsidR="005752E6" w:rsidRDefault="005752E6" w:rsidP="005752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Figure 1-3: Sample Configuration for a Single Sub-Meter Installation</w:t>
      </w:r>
    </w:p>
    <w:p w14:paraId="027810F6" w14:textId="4A947BD2" w:rsidR="005752E6" w:rsidRDefault="005752E6" w:rsidP="008B4BEE">
      <w:pPr>
        <w:rPr>
          <w:rFonts w:cstheme="minorHAnsi"/>
          <w:color w:val="000000"/>
          <w:sz w:val="24"/>
          <w:szCs w:val="24"/>
        </w:rPr>
      </w:pPr>
    </w:p>
    <w:p w14:paraId="3D5EFAE9" w14:textId="0DAC8AE0" w:rsidR="005752E6" w:rsidRDefault="005752E6" w:rsidP="008B4BEE">
      <w:pPr>
        <w:rPr>
          <w:rFonts w:cstheme="minorHAns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E556C6" wp14:editId="223EAEA4">
            <wp:extent cx="5448300" cy="350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755C" w14:textId="22D07EFC" w:rsidR="005752E6" w:rsidRDefault="005752E6" w:rsidP="005752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Figure 1-4: Sample Configuration for a Dual Sub-Meter Installation</w:t>
      </w:r>
    </w:p>
    <w:p w14:paraId="04DC3A12" w14:textId="77777777" w:rsidR="005752E6" w:rsidRDefault="005752E6" w:rsidP="008B4BEE">
      <w:pPr>
        <w:rPr>
          <w:rFonts w:cstheme="minorHAnsi"/>
          <w:color w:val="000000"/>
          <w:sz w:val="24"/>
          <w:szCs w:val="24"/>
        </w:rPr>
      </w:pPr>
    </w:p>
    <w:p w14:paraId="0F7F2C93" w14:textId="148DE068" w:rsidR="00CB4474" w:rsidRPr="00C870BC" w:rsidRDefault="00C870BC" w:rsidP="008B4BEE">
      <w:pPr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Conclusion:</w:t>
      </w:r>
    </w:p>
    <w:p w14:paraId="36E9A98F" w14:textId="74875EAA" w:rsidR="009F49ED" w:rsidRDefault="00A6748B" w:rsidP="009F49E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Based on</w:t>
      </w:r>
      <w:r w:rsidR="00F06CCC">
        <w:rPr>
          <w:rFonts w:cstheme="minorHAnsi"/>
          <w:color w:val="000000"/>
          <w:sz w:val="24"/>
          <w:szCs w:val="24"/>
        </w:rPr>
        <w:t xml:space="preserve"> </w:t>
      </w:r>
      <w:r w:rsidR="007238A5">
        <w:rPr>
          <w:rFonts w:cstheme="minorHAnsi"/>
          <w:color w:val="000000"/>
          <w:sz w:val="24"/>
          <w:szCs w:val="24"/>
        </w:rPr>
        <w:t>all material and information provided on the topic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DD174B">
        <w:rPr>
          <w:rFonts w:cstheme="minorHAnsi"/>
          <w:color w:val="000000"/>
          <w:sz w:val="24"/>
          <w:szCs w:val="24"/>
        </w:rPr>
        <w:t xml:space="preserve">DPS </w:t>
      </w:r>
      <w:r w:rsidR="007238A5">
        <w:rPr>
          <w:rFonts w:cstheme="minorHAnsi"/>
          <w:color w:val="000000"/>
          <w:sz w:val="24"/>
          <w:szCs w:val="24"/>
        </w:rPr>
        <w:t xml:space="preserve">determined </w:t>
      </w:r>
      <w:r w:rsidR="00CB4474">
        <w:rPr>
          <w:rFonts w:cstheme="minorHAnsi"/>
          <w:color w:val="000000"/>
          <w:sz w:val="24"/>
          <w:szCs w:val="24"/>
        </w:rPr>
        <w:t>that although both sides provided technically relevant justifications for their positions, the</w:t>
      </w:r>
      <w:r w:rsidR="00C870BC">
        <w:rPr>
          <w:rFonts w:cstheme="minorHAnsi"/>
          <w:color w:val="000000"/>
          <w:sz w:val="24"/>
          <w:szCs w:val="24"/>
        </w:rPr>
        <w:t xml:space="preserve"> level of</w:t>
      </w:r>
      <w:r w:rsidR="00CB4474">
        <w:rPr>
          <w:rFonts w:cstheme="minorHAnsi"/>
          <w:color w:val="000000"/>
          <w:sz w:val="24"/>
          <w:szCs w:val="24"/>
        </w:rPr>
        <w:t xml:space="preserve"> inaccuracies and </w:t>
      </w:r>
      <w:r w:rsidR="007238A5">
        <w:rPr>
          <w:rFonts w:cstheme="minorHAnsi"/>
          <w:color w:val="000000"/>
          <w:sz w:val="24"/>
          <w:szCs w:val="24"/>
        </w:rPr>
        <w:t xml:space="preserve">small amount of </w:t>
      </w:r>
      <w:r w:rsidR="00CB4474">
        <w:rPr>
          <w:rFonts w:cstheme="minorHAnsi"/>
          <w:color w:val="000000"/>
          <w:sz w:val="24"/>
          <w:szCs w:val="24"/>
        </w:rPr>
        <w:t xml:space="preserve">potential </w:t>
      </w:r>
      <w:r w:rsidR="00C870BC">
        <w:rPr>
          <w:rFonts w:cstheme="minorHAnsi"/>
          <w:color w:val="000000"/>
          <w:sz w:val="24"/>
          <w:szCs w:val="24"/>
        </w:rPr>
        <w:t xml:space="preserve">discrepancies </w:t>
      </w:r>
      <w:r w:rsidR="003B307D">
        <w:rPr>
          <w:rFonts w:cstheme="minorHAnsi"/>
          <w:color w:val="000000"/>
          <w:sz w:val="24"/>
          <w:szCs w:val="24"/>
        </w:rPr>
        <w:t>caused by</w:t>
      </w:r>
      <w:r w:rsidR="00C870BC">
        <w:rPr>
          <w:rFonts w:cstheme="minorHAnsi"/>
          <w:color w:val="000000"/>
          <w:sz w:val="24"/>
          <w:szCs w:val="24"/>
        </w:rPr>
        <w:t xml:space="preserve"> metering these loads </w:t>
      </w:r>
      <w:r>
        <w:rPr>
          <w:rFonts w:cstheme="minorHAnsi"/>
          <w:color w:val="000000"/>
          <w:sz w:val="24"/>
          <w:szCs w:val="24"/>
        </w:rPr>
        <w:t xml:space="preserve">utilizing </w:t>
      </w:r>
      <w:r w:rsidR="003B307D">
        <w:rPr>
          <w:rFonts w:cstheme="minorHAnsi"/>
          <w:color w:val="000000"/>
          <w:sz w:val="24"/>
          <w:szCs w:val="24"/>
        </w:rPr>
        <w:t xml:space="preserve">only </w:t>
      </w:r>
      <w:r>
        <w:rPr>
          <w:rFonts w:cstheme="minorHAnsi"/>
          <w:color w:val="000000"/>
          <w:sz w:val="24"/>
          <w:szCs w:val="24"/>
        </w:rPr>
        <w:t xml:space="preserve">one meter </w:t>
      </w:r>
      <w:r w:rsidR="00C870BC">
        <w:rPr>
          <w:rFonts w:cstheme="minorHAnsi"/>
          <w:color w:val="000000"/>
          <w:sz w:val="24"/>
          <w:szCs w:val="24"/>
        </w:rPr>
        <w:t xml:space="preserve">did not warrant </w:t>
      </w:r>
      <w:r w:rsidR="003B307D">
        <w:rPr>
          <w:rFonts w:cstheme="minorHAnsi"/>
          <w:color w:val="000000"/>
          <w:sz w:val="24"/>
          <w:szCs w:val="24"/>
        </w:rPr>
        <w:t xml:space="preserve">the </w:t>
      </w:r>
      <w:r w:rsidR="00C870BC">
        <w:rPr>
          <w:rFonts w:cstheme="minorHAnsi"/>
          <w:color w:val="000000"/>
          <w:sz w:val="24"/>
          <w:szCs w:val="24"/>
        </w:rPr>
        <w:t>separate auxiliary meter</w:t>
      </w:r>
      <w:r w:rsidR="004E28CF">
        <w:rPr>
          <w:rFonts w:cstheme="minorHAnsi"/>
          <w:color w:val="000000"/>
          <w:sz w:val="24"/>
          <w:szCs w:val="24"/>
        </w:rPr>
        <w:t xml:space="preserve"> </w:t>
      </w:r>
      <w:r w:rsidR="005752E6">
        <w:rPr>
          <w:rFonts w:cstheme="minorHAnsi"/>
          <w:color w:val="000000"/>
          <w:sz w:val="24"/>
          <w:szCs w:val="24"/>
        </w:rPr>
        <w:t>service</w:t>
      </w:r>
      <w:r w:rsidR="007238A5">
        <w:rPr>
          <w:rFonts w:cstheme="minorHAnsi"/>
          <w:color w:val="000000"/>
          <w:sz w:val="24"/>
          <w:szCs w:val="24"/>
        </w:rPr>
        <w:t xml:space="preserve"> and associated costs</w:t>
      </w:r>
      <w:r w:rsidR="00C870BC">
        <w:rPr>
          <w:rFonts w:cstheme="minorHAnsi"/>
          <w:color w:val="000000"/>
          <w:sz w:val="24"/>
          <w:szCs w:val="24"/>
        </w:rPr>
        <w:t xml:space="preserve">. </w:t>
      </w:r>
      <w:r w:rsidR="00BC3A26">
        <w:rPr>
          <w:rFonts w:cstheme="minorHAnsi"/>
          <w:color w:val="000000"/>
          <w:sz w:val="24"/>
          <w:szCs w:val="24"/>
        </w:rPr>
        <w:t>Utilities note that it may be necessary to require a separate meter or service for ESS loads for other purposes, such as to verify ESS control schemes.</w:t>
      </w:r>
      <w:r w:rsidR="00C870BC">
        <w:rPr>
          <w:rFonts w:cstheme="minorHAnsi"/>
          <w:color w:val="000000"/>
          <w:sz w:val="24"/>
          <w:szCs w:val="24"/>
        </w:rPr>
        <w:t xml:space="preserve"> </w:t>
      </w:r>
      <w:r w:rsidR="00DD174B">
        <w:rPr>
          <w:rFonts w:cstheme="minorHAnsi"/>
          <w:color w:val="000000"/>
          <w:sz w:val="24"/>
          <w:szCs w:val="24"/>
        </w:rPr>
        <w:t>DPS communicated t</w:t>
      </w:r>
      <w:r w:rsidR="00C870BC">
        <w:rPr>
          <w:rFonts w:cstheme="minorHAnsi"/>
          <w:color w:val="000000"/>
          <w:sz w:val="24"/>
          <w:szCs w:val="24"/>
        </w:rPr>
        <w:t xml:space="preserve">his determination to the ITWG at the 6/11/20 </w:t>
      </w:r>
      <w:r w:rsidR="00DD174B">
        <w:rPr>
          <w:rFonts w:cstheme="minorHAnsi"/>
          <w:color w:val="000000"/>
          <w:sz w:val="24"/>
          <w:szCs w:val="24"/>
        </w:rPr>
        <w:t xml:space="preserve">meeting </w:t>
      </w:r>
      <w:r w:rsidR="00C870BC">
        <w:rPr>
          <w:rFonts w:cstheme="minorHAnsi"/>
          <w:color w:val="000000"/>
          <w:sz w:val="24"/>
          <w:szCs w:val="24"/>
        </w:rPr>
        <w:t>and should be considered in effect as of that date.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27EB586" w14:textId="2206893C" w:rsidR="00C870BC" w:rsidRDefault="00C870BC" w:rsidP="009F49ED">
      <w:pPr>
        <w:rPr>
          <w:rFonts w:cstheme="minorHAnsi"/>
          <w:color w:val="000000"/>
          <w:sz w:val="24"/>
          <w:szCs w:val="24"/>
        </w:rPr>
      </w:pPr>
    </w:p>
    <w:p w14:paraId="6FCB7512" w14:textId="77777777" w:rsidR="00C870BC" w:rsidRDefault="00C870BC" w:rsidP="009F49ED"/>
    <w:sectPr w:rsidR="00C870B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4D5A" w14:textId="77777777" w:rsidR="00AC4C01" w:rsidRDefault="00AC4C01" w:rsidP="008B04DA">
      <w:pPr>
        <w:spacing w:after="0" w:line="240" w:lineRule="auto"/>
      </w:pPr>
      <w:r>
        <w:separator/>
      </w:r>
    </w:p>
  </w:endnote>
  <w:endnote w:type="continuationSeparator" w:id="0">
    <w:p w14:paraId="3DE619D6" w14:textId="77777777" w:rsidR="00AC4C01" w:rsidRDefault="00AC4C01" w:rsidP="008B04DA">
      <w:pPr>
        <w:spacing w:after="0" w:line="240" w:lineRule="auto"/>
      </w:pPr>
      <w:r>
        <w:continuationSeparator/>
      </w:r>
    </w:p>
  </w:endnote>
  <w:endnote w:type="continuationNotice" w:id="1">
    <w:p w14:paraId="44B1DA1B" w14:textId="77777777" w:rsidR="00AC4C01" w:rsidRDefault="00AC4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71B3" w14:textId="77777777" w:rsidR="008C1486" w:rsidRDefault="00AD11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B451C2" wp14:editId="7BC3177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1de14756be51a4b022b65990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21740" w14:textId="21E2E15D" w:rsidR="00AD11CD" w:rsidRPr="00AD11CD" w:rsidRDefault="00AD11CD" w:rsidP="00AD11C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AD11CD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451C2" id="_x0000_t202" coordsize="21600,21600" o:spt="202" path="m,l,21600r21600,l21600,xe">
              <v:stroke joinstyle="miter"/>
              <v:path gradientshapeok="t" o:connecttype="rect"/>
            </v:shapetype>
            <v:shape id="MSIPCM1de14756be51a4b022b65990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S3Jhd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52A21740" w14:textId="21E2E15D" w:rsidR="00AD11CD" w:rsidRPr="00AD11CD" w:rsidRDefault="00AD11CD" w:rsidP="00AD11C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AD11CD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6D8AD" w14:textId="77777777" w:rsidR="00AC4C01" w:rsidRDefault="00AC4C01" w:rsidP="008B04DA">
      <w:pPr>
        <w:spacing w:after="0" w:line="240" w:lineRule="auto"/>
      </w:pPr>
      <w:r>
        <w:separator/>
      </w:r>
    </w:p>
  </w:footnote>
  <w:footnote w:type="continuationSeparator" w:id="0">
    <w:p w14:paraId="342281A4" w14:textId="77777777" w:rsidR="00AC4C01" w:rsidRDefault="00AC4C01" w:rsidP="008B04DA">
      <w:pPr>
        <w:spacing w:after="0" w:line="240" w:lineRule="auto"/>
      </w:pPr>
      <w:r>
        <w:continuationSeparator/>
      </w:r>
    </w:p>
  </w:footnote>
  <w:footnote w:type="continuationNotice" w:id="1">
    <w:p w14:paraId="2CA52324" w14:textId="77777777" w:rsidR="00AC4C01" w:rsidRDefault="00AC4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1F2B" w14:textId="77777777" w:rsidR="008C1486" w:rsidRDefault="008C1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1385EA"/>
    <w:multiLevelType w:val="hybridMultilevel"/>
    <w:tmpl w:val="7FC9B2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E6AAFD"/>
    <w:multiLevelType w:val="hybridMultilevel"/>
    <w:tmpl w:val="C0F497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FFFEBA"/>
    <w:multiLevelType w:val="hybridMultilevel"/>
    <w:tmpl w:val="02695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835B0"/>
    <w:multiLevelType w:val="hybridMultilevel"/>
    <w:tmpl w:val="59CEB9D8"/>
    <w:lvl w:ilvl="0" w:tplc="CA687228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90C51"/>
    <w:multiLevelType w:val="hybridMultilevel"/>
    <w:tmpl w:val="84820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143A4"/>
    <w:multiLevelType w:val="hybridMultilevel"/>
    <w:tmpl w:val="65446180"/>
    <w:lvl w:ilvl="0" w:tplc="CA687228">
      <w:numFmt w:val="bullet"/>
      <w:lvlText w:val="•"/>
      <w:lvlJc w:val="left"/>
      <w:pPr>
        <w:ind w:left="180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718BE"/>
    <w:multiLevelType w:val="hybridMultilevel"/>
    <w:tmpl w:val="D70204D2"/>
    <w:lvl w:ilvl="0" w:tplc="CA687228">
      <w:numFmt w:val="bullet"/>
      <w:lvlText w:val="•"/>
      <w:lvlJc w:val="left"/>
      <w:pPr>
        <w:ind w:left="180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F52CC"/>
    <w:multiLevelType w:val="hybridMultilevel"/>
    <w:tmpl w:val="3450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416A0"/>
    <w:multiLevelType w:val="hybridMultilevel"/>
    <w:tmpl w:val="4142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A1022"/>
    <w:multiLevelType w:val="hybridMultilevel"/>
    <w:tmpl w:val="1804CE82"/>
    <w:lvl w:ilvl="0" w:tplc="CA687228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4F25"/>
    <w:multiLevelType w:val="hybridMultilevel"/>
    <w:tmpl w:val="F4B6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43591"/>
    <w:multiLevelType w:val="hybridMultilevel"/>
    <w:tmpl w:val="49F82E8E"/>
    <w:lvl w:ilvl="0" w:tplc="CA687228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34F39"/>
    <w:multiLevelType w:val="hybridMultilevel"/>
    <w:tmpl w:val="E07CE7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9129E5"/>
    <w:multiLevelType w:val="hybridMultilevel"/>
    <w:tmpl w:val="F8768368"/>
    <w:lvl w:ilvl="0" w:tplc="CA687228">
      <w:numFmt w:val="bullet"/>
      <w:lvlText w:val="•"/>
      <w:lvlJc w:val="left"/>
      <w:pPr>
        <w:ind w:left="180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6540CD"/>
    <w:multiLevelType w:val="hybridMultilevel"/>
    <w:tmpl w:val="3F4C43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7151347"/>
    <w:multiLevelType w:val="hybridMultilevel"/>
    <w:tmpl w:val="6F5CB9A0"/>
    <w:lvl w:ilvl="0" w:tplc="CA687228">
      <w:numFmt w:val="bullet"/>
      <w:lvlText w:val="•"/>
      <w:lvlJc w:val="left"/>
      <w:pPr>
        <w:ind w:left="180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087C31"/>
    <w:multiLevelType w:val="hybridMultilevel"/>
    <w:tmpl w:val="01AC6600"/>
    <w:lvl w:ilvl="0" w:tplc="CA687228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4F1AEF"/>
    <w:multiLevelType w:val="hybridMultilevel"/>
    <w:tmpl w:val="F4807768"/>
    <w:lvl w:ilvl="0" w:tplc="CA687228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580B0B"/>
    <w:multiLevelType w:val="hybridMultilevel"/>
    <w:tmpl w:val="3954D72E"/>
    <w:lvl w:ilvl="0" w:tplc="CA687228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ED"/>
    <w:rsid w:val="00026E7D"/>
    <w:rsid w:val="00045B11"/>
    <w:rsid w:val="00066430"/>
    <w:rsid w:val="00080383"/>
    <w:rsid w:val="000B4A72"/>
    <w:rsid w:val="000E0D4C"/>
    <w:rsid w:val="000F3A0C"/>
    <w:rsid w:val="000F6689"/>
    <w:rsid w:val="00205390"/>
    <w:rsid w:val="00267065"/>
    <w:rsid w:val="002E0376"/>
    <w:rsid w:val="003229D2"/>
    <w:rsid w:val="0038684D"/>
    <w:rsid w:val="00396FEF"/>
    <w:rsid w:val="003A0BA9"/>
    <w:rsid w:val="003A5369"/>
    <w:rsid w:val="003B307D"/>
    <w:rsid w:val="003C7FE7"/>
    <w:rsid w:val="00425F3B"/>
    <w:rsid w:val="00431B7B"/>
    <w:rsid w:val="0045724E"/>
    <w:rsid w:val="004A3A83"/>
    <w:rsid w:val="004C45CD"/>
    <w:rsid w:val="004C4C4F"/>
    <w:rsid w:val="004D4FFD"/>
    <w:rsid w:val="004E2181"/>
    <w:rsid w:val="004E28CF"/>
    <w:rsid w:val="00503DC6"/>
    <w:rsid w:val="0052460C"/>
    <w:rsid w:val="0052545A"/>
    <w:rsid w:val="00557EF8"/>
    <w:rsid w:val="005752E6"/>
    <w:rsid w:val="00576DDC"/>
    <w:rsid w:val="00585DF2"/>
    <w:rsid w:val="005A46D5"/>
    <w:rsid w:val="005E61C2"/>
    <w:rsid w:val="005F1FEF"/>
    <w:rsid w:val="006553C1"/>
    <w:rsid w:val="006660FC"/>
    <w:rsid w:val="006A5C01"/>
    <w:rsid w:val="006B3658"/>
    <w:rsid w:val="00714BDD"/>
    <w:rsid w:val="00723772"/>
    <w:rsid w:val="007238A5"/>
    <w:rsid w:val="007308BD"/>
    <w:rsid w:val="007F0085"/>
    <w:rsid w:val="008942A2"/>
    <w:rsid w:val="008B04DA"/>
    <w:rsid w:val="008B4BEE"/>
    <w:rsid w:val="008C1486"/>
    <w:rsid w:val="008C77E8"/>
    <w:rsid w:val="008F2193"/>
    <w:rsid w:val="00910C27"/>
    <w:rsid w:val="00971E86"/>
    <w:rsid w:val="009E7259"/>
    <w:rsid w:val="009F3413"/>
    <w:rsid w:val="009F49ED"/>
    <w:rsid w:val="00A357B5"/>
    <w:rsid w:val="00A6748B"/>
    <w:rsid w:val="00A84A02"/>
    <w:rsid w:val="00AC4C01"/>
    <w:rsid w:val="00AD11CD"/>
    <w:rsid w:val="00AD35D2"/>
    <w:rsid w:val="00AF3D01"/>
    <w:rsid w:val="00B350E2"/>
    <w:rsid w:val="00B920AA"/>
    <w:rsid w:val="00BA44A0"/>
    <w:rsid w:val="00BC3A26"/>
    <w:rsid w:val="00BD2503"/>
    <w:rsid w:val="00BE30F2"/>
    <w:rsid w:val="00C20305"/>
    <w:rsid w:val="00C361A2"/>
    <w:rsid w:val="00C870BC"/>
    <w:rsid w:val="00CB4474"/>
    <w:rsid w:val="00D14155"/>
    <w:rsid w:val="00D7129C"/>
    <w:rsid w:val="00DB340F"/>
    <w:rsid w:val="00DC22D7"/>
    <w:rsid w:val="00DC63E5"/>
    <w:rsid w:val="00DD174B"/>
    <w:rsid w:val="00DF72E5"/>
    <w:rsid w:val="00DF73F7"/>
    <w:rsid w:val="00E25E0B"/>
    <w:rsid w:val="00E76289"/>
    <w:rsid w:val="00E850A4"/>
    <w:rsid w:val="00E973E2"/>
    <w:rsid w:val="00EB5A17"/>
    <w:rsid w:val="00EC52FC"/>
    <w:rsid w:val="00F00539"/>
    <w:rsid w:val="00F06CCC"/>
    <w:rsid w:val="00F74511"/>
    <w:rsid w:val="00FC5E2D"/>
    <w:rsid w:val="00FF1951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D9E92"/>
  <w15:chartTrackingRefBased/>
  <w15:docId w15:val="{EA172928-CEA5-4FA4-AEC7-2EF0E5B1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9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86"/>
  </w:style>
  <w:style w:type="paragraph" w:styleId="Footer">
    <w:name w:val="footer"/>
    <w:basedOn w:val="Normal"/>
    <w:link w:val="FooterChar"/>
    <w:uiPriority w:val="99"/>
    <w:unhideWhenUsed/>
    <w:rsid w:val="008C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3688-848B-4518-87C5-AA3AF78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Pause, Jason (DPS)</dc:creator>
  <cp:keywords/>
  <dc:description/>
  <cp:lastModifiedBy>Pause, Jason (DPS)</cp:lastModifiedBy>
  <cp:revision>3</cp:revision>
  <dcterms:created xsi:type="dcterms:W3CDTF">2021-02-24T14:55:00Z</dcterms:created>
  <dcterms:modified xsi:type="dcterms:W3CDTF">2021-02-24T14:56:00Z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490586b-6766-439a-826f-fa6da183971c_Enabled">
    <vt:lpwstr>true</vt:lpwstr>
  </property>
  <property fmtid="{D5CDD505-2E9C-101B-9397-08002B2CF9AE}" pid="4" name="MSIP_Label_6490586b-6766-439a-826f-fa6da183971c_SetDate">
    <vt:lpwstr>2020-12-16T00:45:03Z</vt:lpwstr>
  </property>
  <property fmtid="{D5CDD505-2E9C-101B-9397-08002B2CF9AE}" pid="5" name="MSIP_Label_6490586b-6766-439a-826f-fa6da183971c_Method">
    <vt:lpwstr>Standard</vt:lpwstr>
  </property>
  <property fmtid="{D5CDD505-2E9C-101B-9397-08002B2CF9AE}" pid="6" name="MSIP_Label_6490586b-6766-439a-826f-fa6da183971c_Name">
    <vt:lpwstr>General</vt:lpwstr>
  </property>
  <property fmtid="{D5CDD505-2E9C-101B-9397-08002B2CF9AE}" pid="7" name="MSIP_Label_6490586b-6766-439a-826f-fa6da183971c_SiteId">
    <vt:lpwstr>e9aef9b7-25ca-4518-a881-33e546773136</vt:lpwstr>
  </property>
  <property fmtid="{D5CDD505-2E9C-101B-9397-08002B2CF9AE}" pid="8" name="MSIP_Label_6490586b-6766-439a-826f-fa6da183971c_ActionId">
    <vt:lpwstr>a6125573-8216-4142-9008-000029ec471f</vt:lpwstr>
  </property>
  <property fmtid="{D5CDD505-2E9C-101B-9397-08002B2CF9AE}" pid="9" name="MSIP_Label_6490586b-6766-439a-826f-fa6da183971c_ContentBits">
    <vt:lpwstr>0</vt:lpwstr>
  </property>
</Properties>
</file>